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D51394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6</w:t>
      </w:r>
    </w:p>
    <w:p w14:paraId="185D0383" w14:textId="02CB456A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do uchwały nr 1</w:t>
      </w:r>
      <w:r w:rsidR="007A7DA1">
        <w:rPr>
          <w:rFonts w:ascii="Times New Roman" w:eastAsia="Times New Roman" w:hAnsi="Times New Roman" w:cs="Times New Roman"/>
          <w:sz w:val="20"/>
          <w:szCs w:val="20"/>
          <w:lang w:eastAsia="pl-PL"/>
        </w:rPr>
        <w:t>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7A7DA1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435C7DE6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4E56BB11" w14:textId="7B932CBC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7A7DA1">
        <w:rPr>
          <w:rFonts w:ascii="Times New Roman" w:eastAsia="Times New Roman" w:hAnsi="Times New Roman" w:cs="Times New Roman"/>
          <w:sz w:val="20"/>
          <w:szCs w:val="20"/>
          <w:lang w:eastAsia="pl-PL"/>
        </w:rPr>
        <w:t>1 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p w14:paraId="70536532" w14:textId="77777777" w:rsidR="00E23546" w:rsidRPr="00E55CA7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55C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7D6E0D88" w14:textId="77777777" w:rsidR="00E55CA7" w:rsidRPr="00710D27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710D27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4A5E3031" w14:textId="020A22B4" w:rsidR="00E23546" w:rsidRPr="00710D27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710D27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14:paraId="5635F770" w14:textId="6125E377" w:rsidR="00E55CA7" w:rsidRPr="00710D27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710D27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E55CA7" w:rsidRPr="00710D27">
        <w:rPr>
          <w:rFonts w:ascii="Times New Roman" w:eastAsia="Times New Roman" w:hAnsi="Times New Roman" w:cs="Times New Roman"/>
          <w:i/>
          <w:lang w:eastAsia="pl-PL"/>
        </w:rPr>
        <w:t> </w:t>
      </w:r>
      <w:r w:rsidRPr="00710D27">
        <w:rPr>
          <w:rFonts w:ascii="Times New Roman" w:eastAsia="Times New Roman" w:hAnsi="Times New Roman" w:cs="Times New Roman"/>
          <w:i/>
          <w:lang w:eastAsia="pl-PL"/>
        </w:rPr>
        <w:t>postępowaniu kwalifikacyjnym na biegłych rewidentów</w:t>
      </w:r>
      <w:r w:rsidR="00473D76" w:rsidRPr="00710D27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="00473D76" w:rsidRPr="00710D27">
        <w:rPr>
          <w:rFonts w:ascii="Times New Roman" w:hAnsi="Times New Roman" w:cs="Times New Roman"/>
          <w:bCs/>
          <w:i/>
        </w:rPr>
        <w:t>zmienion</w:t>
      </w:r>
      <w:r w:rsidR="00F26BF6" w:rsidRPr="00710D27">
        <w:rPr>
          <w:rFonts w:ascii="Times New Roman" w:hAnsi="Times New Roman" w:cs="Times New Roman"/>
          <w:bCs/>
          <w:i/>
        </w:rPr>
        <w:t>ej</w:t>
      </w:r>
      <w:r w:rsidR="00473D76" w:rsidRPr="00710D27">
        <w:rPr>
          <w:rFonts w:ascii="Times New Roman" w:hAnsi="Times New Roman" w:cs="Times New Roman"/>
          <w:bCs/>
          <w:i/>
        </w:rPr>
        <w:t xml:space="preserve"> uchwałą Nr 2336/42/2022 Krajowej Rady Biegłych Rewidentów z dnia  30 sierpnia 2022 r. </w:t>
      </w:r>
    </w:p>
    <w:p w14:paraId="1A6B998D" w14:textId="6F627068" w:rsidR="00E23546" w:rsidRPr="00710D27" w:rsidRDefault="00473D7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710D27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="00E23546" w:rsidRPr="00710D27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14:paraId="2CEE7038" w14:textId="77777777" w:rsidR="00E23546" w:rsidRPr="00F26BF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sz w:val="18"/>
          <w:szCs w:val="18"/>
          <w:lang w:eastAsia="pl-PL"/>
        </w:rPr>
      </w:pPr>
    </w:p>
    <w:p w14:paraId="5253DE72" w14:textId="5A412604" w:rsidR="00E23546" w:rsidRPr="00E55CA7" w:rsidRDefault="007A665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E55CA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Rachunek kosztów i </w:t>
      </w:r>
      <w:r w:rsidR="00B3545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</w:t>
      </w:r>
      <w:bookmarkStart w:id="0" w:name="_GoBack"/>
      <w:bookmarkEnd w:id="0"/>
      <w:r w:rsidRPr="00E55CA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achunkowość zarządcza</w:t>
      </w:r>
    </w:p>
    <w:p w14:paraId="7689ADE7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37B91C4" w14:textId="77777777" w:rsidR="00E55CA7" w:rsidRPr="008327FE" w:rsidRDefault="00E55CA7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23546" w:rsidRPr="008327FE" w14:paraId="263D2AAE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AE165BD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5408D003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7120E073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154F820F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0B576642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39B15A7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3F9A633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0DDDE2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AA01A1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6B16C1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2FF76C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7D7BBC3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0EF0EF6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C1D702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06550CE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69D9BC3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1173BF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3652BDB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B504D5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2B317B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2BA066C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393776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098F483A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32FAB74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5756460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23C98AE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5E3A72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7A6656" w:rsidRPr="008327FE" w14:paraId="4212178A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6B544615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 Rachunek kosztów</w:t>
            </w:r>
          </w:p>
          <w:p w14:paraId="1B118778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8.1.1. Koszty i pojęcia bliskoznaczne</w:t>
            </w:r>
          </w:p>
          <w:p w14:paraId="0A86D98B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8.1.2. Miejsce rachunku kosztów w systemie informacyjnym przedsiębiorstwa, cele i zadania rachunku kosztów, ewolucja rachunku kosztów.</w:t>
            </w:r>
          </w:p>
          <w:p w14:paraId="72545FE4" w14:textId="77777777" w:rsidR="007A6656" w:rsidRDefault="007A6656" w:rsidP="007A6656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8.1.3. Kwalifikacja kosztów dla potrzeb rachunkowości finansowej</w:t>
            </w:r>
          </w:p>
          <w:p w14:paraId="29EFA916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8.1.4. Koszty a struktura organizacyjna przedsiębiorstwa.</w:t>
            </w:r>
          </w:p>
          <w:p w14:paraId="6A368330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8.1.5. Przekroje ewidencyjne kosztów a układ rachunku zysków i strat, dostosowanie ewidencji kosztów do potrzeb jednostki, uproszczenia w ewidencji kosztów.</w:t>
            </w:r>
          </w:p>
          <w:p w14:paraId="4853AC3E" w14:textId="77777777" w:rsidR="007A6656" w:rsidRPr="00D57E17" w:rsidRDefault="007A6656" w:rsidP="007A6656">
            <w:pPr>
              <w:ind w:left="357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039E4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8.1.6. Istota, przedmiot, rodzaje i metody kalkulacji kosztów.</w:t>
            </w:r>
          </w:p>
          <w:p w14:paraId="1EDB6515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8.1.7. Koszty działalności pomocniczej i ich rozliczanie </w:t>
            </w:r>
          </w:p>
          <w:p w14:paraId="61C189F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8.1.8. Koszt wytworzenia, jako podstawa wyceny produktów. Kalkulacja kosztu wytworzenia produktów.</w:t>
            </w:r>
          </w:p>
          <w:p w14:paraId="58D63FBD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8.1.9. Niewykorzystane zdolności produkcyjne i ich wpływ na wycenę produktów.</w:t>
            </w:r>
          </w:p>
          <w:p w14:paraId="2E58174B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8.1.10. Rachunek kosztów standardowych (normatywnych, postulowanych).</w:t>
            </w:r>
          </w:p>
          <w:p w14:paraId="58D28521" w14:textId="368EE4D1" w:rsidR="007A6656" w:rsidRPr="008327FE" w:rsidRDefault="007A6656" w:rsidP="007A6656"/>
        </w:tc>
        <w:tc>
          <w:tcPr>
            <w:tcW w:w="3594" w:type="dxa"/>
          </w:tcPr>
          <w:p w14:paraId="1F4A1556" w14:textId="77777777" w:rsidR="007A6656" w:rsidRPr="008327FE" w:rsidRDefault="007A6656" w:rsidP="007A6656"/>
        </w:tc>
        <w:tc>
          <w:tcPr>
            <w:tcW w:w="3828" w:type="dxa"/>
          </w:tcPr>
          <w:p w14:paraId="78214F9E" w14:textId="77777777" w:rsidR="007A6656" w:rsidRPr="008327FE" w:rsidRDefault="007A6656" w:rsidP="007A6656"/>
        </w:tc>
        <w:tc>
          <w:tcPr>
            <w:tcW w:w="3685" w:type="dxa"/>
          </w:tcPr>
          <w:p w14:paraId="30F85643" w14:textId="77777777" w:rsidR="007A6656" w:rsidRPr="008327FE" w:rsidRDefault="007A6656" w:rsidP="007A6656"/>
        </w:tc>
      </w:tr>
      <w:tr w:rsidR="007A6656" w:rsidRPr="008327FE" w14:paraId="6CE464F6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048265BA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8.1.11. Klasyfikacja kosztów dla celów zarządzania.</w:t>
            </w:r>
          </w:p>
          <w:p w14:paraId="19853D01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8.1.12. Rachunek kosztów zmiennych.</w:t>
            </w:r>
          </w:p>
          <w:p w14:paraId="27821E31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8.1.13. Koszty, jako efekt celowego wykorzystania zasobów, obiekty kosztów. Controlling kosztów.</w:t>
            </w:r>
          </w:p>
          <w:p w14:paraId="45CCF493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8.1.14. Rachunek kosztów działań oraz jego wykorzystanie w zarządzaniu przedsiębiorstwem.</w:t>
            </w:r>
          </w:p>
          <w:p w14:paraId="62CF7CC6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8.1.15. Zarządzanie kosztami nowych produktów i technologii. Rachunek kosztów cyklu zużycia produktu, rachunek kosztów docelowych (target costing). Kazein costing.</w:t>
            </w:r>
          </w:p>
          <w:p w14:paraId="4CF29BCF" w14:textId="77777777" w:rsidR="007A6656" w:rsidRDefault="007A6656" w:rsidP="007A6656">
            <w:pPr>
              <w:ind w:left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1CC447" w14:textId="77777777" w:rsidR="007A6656" w:rsidRPr="008327FE" w:rsidRDefault="007A6656" w:rsidP="007A665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94" w:type="dxa"/>
          </w:tcPr>
          <w:p w14:paraId="15A2AC2A" w14:textId="77777777" w:rsidR="007A6656" w:rsidRPr="008327FE" w:rsidRDefault="007A6656" w:rsidP="007A6656"/>
        </w:tc>
        <w:tc>
          <w:tcPr>
            <w:tcW w:w="3828" w:type="dxa"/>
          </w:tcPr>
          <w:p w14:paraId="1CB38EF7" w14:textId="77777777" w:rsidR="007A6656" w:rsidRPr="008327FE" w:rsidRDefault="007A6656" w:rsidP="007A6656"/>
        </w:tc>
        <w:tc>
          <w:tcPr>
            <w:tcW w:w="3685" w:type="dxa"/>
          </w:tcPr>
          <w:p w14:paraId="2F806D0D" w14:textId="77777777" w:rsidR="007A6656" w:rsidRPr="008327FE" w:rsidRDefault="007A6656" w:rsidP="007A6656"/>
        </w:tc>
      </w:tr>
      <w:tr w:rsidR="007A6656" w:rsidRPr="008327FE" w14:paraId="070158F2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59BDED5E" w14:textId="77777777" w:rsidR="007A6656" w:rsidRDefault="007A6656" w:rsidP="007A6656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48047D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 Rachunkowość zarządcza</w:t>
            </w:r>
          </w:p>
          <w:p w14:paraId="73E12B57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8.2.1. Rola rachunkowości zarządczej w podejmowaniu decyzji. </w:t>
            </w:r>
          </w:p>
          <w:p w14:paraId="20489315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8.2.2. Pomiar kosztów i korzyści w rachunkowości zarządczej.</w:t>
            </w:r>
          </w:p>
          <w:p w14:paraId="1B3F4474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8.2.3. Decyzje krótkookresowe w oparciu o analizę relacji koszty- rozmiary produkcji-zysk, analiza wrażliwości na zmiany przychodów i kosztów, marża bezpieczeństwa, koncepcja rachunku wielostopniowego i marży segmentowej, decyzje przy istnieniu czynników ograniczających, decyzje cenowe dla zamówień specjalnych.</w:t>
            </w:r>
          </w:p>
          <w:p w14:paraId="3B6699EC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</w:tcPr>
          <w:p w14:paraId="6A2BC90D" w14:textId="77777777" w:rsidR="007A6656" w:rsidRPr="008327FE" w:rsidRDefault="007A6656" w:rsidP="007A6656"/>
        </w:tc>
        <w:tc>
          <w:tcPr>
            <w:tcW w:w="3828" w:type="dxa"/>
          </w:tcPr>
          <w:p w14:paraId="2CCCDB27" w14:textId="77777777" w:rsidR="007A6656" w:rsidRPr="008327FE" w:rsidRDefault="007A6656" w:rsidP="007A6656"/>
        </w:tc>
        <w:tc>
          <w:tcPr>
            <w:tcW w:w="3685" w:type="dxa"/>
          </w:tcPr>
          <w:p w14:paraId="4A00426E" w14:textId="77777777" w:rsidR="007A6656" w:rsidRPr="008327FE" w:rsidRDefault="007A6656" w:rsidP="007A6656"/>
        </w:tc>
      </w:tr>
      <w:tr w:rsidR="007A6656" w:rsidRPr="008327FE" w14:paraId="024BBD41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EA814EC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8.2.4. Decentralizacja zarządzania, ośrodki odpowiedzialności, mierniki oceny efektywności działania ośrodków odpowiedzialności.</w:t>
            </w:r>
          </w:p>
          <w:p w14:paraId="013775F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8.2.5. Planowanie i budżetowanie oraz ocena wykonania budżetów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7B4C3C4" w14:textId="77777777" w:rsidR="007A6656" w:rsidRPr="00D57E17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8.2.6. Rachunek efektywności decyzji długookresowych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CC723E5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8.2.7. Nowoczesne systemy pomiaru i oceny dokonań w przedsiębiorstwie, stosowanie systemów zarządzania wykorzystujących niefinansowe mierniki osiągnięć, zrównoważona karta osiągnięć (Balanced Scorecard).</w:t>
            </w:r>
          </w:p>
          <w:p w14:paraId="7EB910DB" w14:textId="77777777" w:rsidR="007A6656" w:rsidRDefault="007A6656" w:rsidP="007A665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8.2.8. Lean accounting (szczupła rachunkowość w zarzadzaniu)</w:t>
            </w:r>
          </w:p>
          <w:p w14:paraId="5E834A93" w14:textId="77777777" w:rsidR="007A6656" w:rsidRDefault="007A6656" w:rsidP="007A6656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</w:tcPr>
          <w:p w14:paraId="6DD0C3D7" w14:textId="77777777" w:rsidR="007A6656" w:rsidRPr="008327FE" w:rsidRDefault="007A6656" w:rsidP="007A6656"/>
        </w:tc>
        <w:tc>
          <w:tcPr>
            <w:tcW w:w="3828" w:type="dxa"/>
          </w:tcPr>
          <w:p w14:paraId="7CF5F228" w14:textId="77777777" w:rsidR="007A6656" w:rsidRPr="008327FE" w:rsidRDefault="007A6656" w:rsidP="007A6656"/>
        </w:tc>
        <w:tc>
          <w:tcPr>
            <w:tcW w:w="3685" w:type="dxa"/>
          </w:tcPr>
          <w:p w14:paraId="0257EDD5" w14:textId="77777777" w:rsidR="007A6656" w:rsidRPr="008327FE" w:rsidRDefault="007A6656" w:rsidP="007A6656"/>
        </w:tc>
      </w:tr>
    </w:tbl>
    <w:p w14:paraId="4B1DE2BF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footerReference w:type="default" r:id="rId7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54909C84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47421A" w14:textId="77777777" w:rsidR="009A5ED9" w:rsidRDefault="009A5ED9" w:rsidP="00E23546">
      <w:pPr>
        <w:spacing w:after="0" w:line="240" w:lineRule="auto"/>
      </w:pPr>
      <w:r>
        <w:separator/>
      </w:r>
    </w:p>
  </w:endnote>
  <w:endnote w:type="continuationSeparator" w:id="0">
    <w:p w14:paraId="29D8A95F" w14:textId="77777777" w:rsidR="009A5ED9" w:rsidRDefault="009A5ED9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5E2E535A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5451">
          <w:rPr>
            <w:noProof/>
          </w:rPr>
          <w:t>2</w:t>
        </w:r>
        <w:r>
          <w:fldChar w:fldCharType="end"/>
        </w:r>
      </w:p>
    </w:sdtContent>
  </w:sdt>
  <w:p w14:paraId="32408720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D159B5" w14:textId="77777777" w:rsidR="009A5ED9" w:rsidRDefault="009A5ED9" w:rsidP="00E23546">
      <w:pPr>
        <w:spacing w:after="0" w:line="240" w:lineRule="auto"/>
      </w:pPr>
      <w:r>
        <w:separator/>
      </w:r>
    </w:p>
  </w:footnote>
  <w:footnote w:type="continuationSeparator" w:id="0">
    <w:p w14:paraId="19CA44E1" w14:textId="77777777" w:rsidR="009A5ED9" w:rsidRDefault="009A5ED9" w:rsidP="00E23546">
      <w:pPr>
        <w:spacing w:after="0" w:line="240" w:lineRule="auto"/>
      </w:pPr>
      <w:r>
        <w:continuationSeparator/>
      </w:r>
    </w:p>
  </w:footnote>
  <w:footnote w:id="1">
    <w:p w14:paraId="3D95D14E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378B79A6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7CC6A6C0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473D76"/>
    <w:rsid w:val="006732C5"/>
    <w:rsid w:val="00710D27"/>
    <w:rsid w:val="00723577"/>
    <w:rsid w:val="007A6656"/>
    <w:rsid w:val="007A7DA1"/>
    <w:rsid w:val="00806D9C"/>
    <w:rsid w:val="00855DE2"/>
    <w:rsid w:val="00965919"/>
    <w:rsid w:val="009A5ED9"/>
    <w:rsid w:val="00B35451"/>
    <w:rsid w:val="00E23546"/>
    <w:rsid w:val="00E55CA7"/>
    <w:rsid w:val="00E5717C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5386E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511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5</cp:revision>
  <dcterms:created xsi:type="dcterms:W3CDTF">2022-10-21T12:38:00Z</dcterms:created>
  <dcterms:modified xsi:type="dcterms:W3CDTF">2022-10-24T12:53:00Z</dcterms:modified>
</cp:coreProperties>
</file>